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09 - Territory Renewal Policy</w:t>
      </w:r>
    </w:p>
    <w:p>
      <w:r>
        <w:br/>
        <w:t>TRISHARA VENTURES LLP (KOOVIRA)</w:t>
        <w:br/>
        <w:t>Registered Office: Navi Mumbai, India</w:t>
        <w:br/>
        <w:t>Effective Date: 1 May 2026</w:t>
        <w:br/>
        <w:t>Last Updated: 10 June 2026</w:t>
        <w:br/>
        <w:br/>
        <w:t>This Territory Renewal Policy establishes the framework governing renewal, extension, continuation, upgrade, review and reassignment of Regional Operating Partner (ROP) territories.</w:t>
        <w:br/>
      </w:r>
    </w:p>
    <w:p>
      <w:pPr>
        <w:pStyle w:val="Heading1"/>
      </w:pPr>
      <w:r>
        <w:t>1. Purpose</w:t>
      </w:r>
    </w:p>
    <w:p>
      <w:r>
        <w:t>To define renewal eligibility, review standards and continuation requirements for ROP territories.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2. Applicability</w:t>
      </w:r>
    </w:p>
    <w:p>
      <w:r>
        <w:t>Applies to all approved Regional Operating Partners and territory operating entities.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3. Territory Lifecycle</w:t>
      </w:r>
    </w:p>
    <w:p>
      <w:r>
        <w:t>Territories may be granted for defined periods subject to review and renewal.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4. Renewal Eligibility</w:t>
      </w:r>
    </w:p>
    <w:p>
      <w:r>
        <w:t>Renewal depends upon compliance, operational performance and business standing.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5. Merchant Growth Assessment</w:t>
      </w:r>
    </w:p>
    <w:p>
      <w:r>
        <w:t>Merchant acquisition, activation and retention performance may be evaluated.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6. User Growth Assessment</w:t>
      </w:r>
    </w:p>
    <w:p>
      <w:r>
        <w:t>Customer growth, engagement and ecosystem participation may be reviewed.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7. Revenue Performance</w:t>
      </w:r>
    </w:p>
    <w:p>
      <w:r>
        <w:t>Commercial performance and territory contribution may be considered.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8. Compliance Review</w:t>
      </w:r>
    </w:p>
    <w:p>
      <w:r>
        <w:t>Compliance with laws, policies and operational standards may be assessed.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9. Reporting Obligations</w:t>
      </w:r>
    </w:p>
    <w:p>
      <w:r>
        <w:t>Required reports, records and supporting documentation should be maintained.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10. Territory Activity Requirements</w:t>
      </w:r>
    </w:p>
    <w:p>
      <w:r>
        <w:t>Territories are expected to maintain meaningful business activity.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11. Service Standards</w:t>
      </w:r>
    </w:p>
    <w:p>
      <w:r>
        <w:t>Customer, merchant and operational service quality may be evaluated.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12. Territory Audit Findings</w:t>
      </w:r>
    </w:p>
    <w:p>
      <w:r>
        <w:t>Audit outcomes may influence renewal decisions.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13. Local Presence Requirements</w:t>
      </w:r>
    </w:p>
    <w:p>
      <w:r>
        <w:t>Maintenance of local infrastructure or operational capability may be considered.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14. Territory Expansion Opportunities</w:t>
      </w:r>
    </w:p>
    <w:p>
      <w:r>
        <w:t>High-performing territories may be eligible for expansion.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15. Territory Upgrade Rights</w:t>
      </w:r>
    </w:p>
    <w:p>
      <w:r>
        <w:t>Qualified territories may be considered for larger operating areas.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16. Conditional Renewal</w:t>
      </w:r>
    </w:p>
    <w:p>
      <w:r>
        <w:t>Renewal may be granted subject to milestones or corrective actions.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17. Renewal Fees</w:t>
      </w:r>
    </w:p>
    <w:p>
      <w:r>
        <w:t>Applicable renewal or administrative charges may apply.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18. Non-Renewal</w:t>
      </w:r>
    </w:p>
    <w:p>
      <w:r>
        <w:t>Territories may not be renewed where standards are not satisfied.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19. Territory Reassignment</w:t>
      </w:r>
    </w:p>
    <w:p>
      <w:r>
        <w:t>KOOVIRA reserves the right to reassign non-renewed territories.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20. Appeals</w:t>
      </w:r>
    </w:p>
    <w:p>
      <w:r>
        <w:t>Appeal mechanisms may be provided at the discretion of KOOVIRA.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21. Continuous Improvement</w:t>
      </w:r>
    </w:p>
    <w:p>
      <w:r>
        <w:t>Performance expectations may evolve over time.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22. Governing Law</w:t>
      </w:r>
    </w:p>
    <w:p>
      <w:r>
        <w:t>This Policy shall be governed by the laws of India.</w:t>
      </w:r>
    </w:p>
    <w:p>
      <w:r>
        <w:t>Additional renewal scorecards, performance benchmarks, review criteria and operational standards may be issued by KOOVIRA from time to time.</w:t>
      </w:r>
    </w:p>
    <w:p>
      <w:pPr>
        <w:pStyle w:val="Heading1"/>
      </w:pPr>
      <w:r>
        <w:t>23. Jurisdiction</w:t>
      </w:r>
    </w:p>
    <w:p>
      <w:r>
        <w:t>Subject to arbitration provisions, Mumbai shall be the jurisdiction.</w:t>
      </w:r>
    </w:p>
    <w:p>
      <w:r>
        <w:t>Additional renewal scorecards, performance benchmarks, review criteria and operational standards may be issued by KOOVIRA from time to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