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05 - Commercial &amp; Revenue Sharing Policy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Commercial &amp; Revenue Sharing Policy establishes the framework governing commercial participation, territory economics, settlements, revenue sharing, incentives, reconciliation and financial responsibilities applicable to Regional Operating Partners (ROPs).</w:t>
        <w:br/>
      </w:r>
    </w:p>
    <w:p>
      <w:pPr>
        <w:pStyle w:val="Heading1"/>
      </w:pPr>
      <w:r>
        <w:t>1. Purpose</w:t>
      </w:r>
    </w:p>
    <w:p>
      <w:r>
        <w:t>To establish transparent commercial and revenue-sharing principles for ROP territories.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2. Scope</w:t>
      </w:r>
    </w:p>
    <w:p>
      <w:r>
        <w:t>Applies to approved ROPs and territory entities operating under authorized agreements.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3. Commercial Model</w:t>
      </w:r>
    </w:p>
    <w:p>
      <w:r>
        <w:t>Commercial structures may vary by territory, module, market conditions and approved agreements.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4. Revenue Sources</w:t>
      </w:r>
    </w:p>
    <w:p>
      <w:r>
        <w:t>Revenue may arise from merchant subscriptions, services, commissions, promotions, advertising and other approved activities.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5. Revenue Sharing</w:t>
      </w:r>
    </w:p>
    <w:p>
      <w:r>
        <w:t>Revenue-sharing percentages shall be defined through applicable commercial agreements and schedules.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6. Settlement Process</w:t>
      </w:r>
    </w:p>
    <w:p>
      <w:r>
        <w:t>Settlements may be processed periodically in accordance with approved financial procedures.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7. Weekly Settlement Framework</w:t>
      </w:r>
    </w:p>
    <w:p>
      <w:r>
        <w:t>Where applicable, weekly settlement reports may be generated for review and reconciliation.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8. Revenue Reconciliation</w:t>
      </w:r>
    </w:p>
    <w:p>
      <w:r>
        <w:t>ROPs are expected to review settlement statements and promptly report discrepancies.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9. Merchant Commissions</w:t>
      </w:r>
    </w:p>
    <w:p>
      <w:r>
        <w:t>Merchant-related commissions, incentives or fees shall be governed by approved commercial schedules.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10. Incentive Programs</w:t>
      </w:r>
    </w:p>
    <w:p>
      <w:r>
        <w:t>Additional incentives may be offered based on performance, growth or strategic objectives.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11. Performance Bonuses</w:t>
      </w:r>
    </w:p>
    <w:p>
      <w:r>
        <w:t>Qualifying territories may become eligible for bonus structures subject to policy conditions.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12. Territory Upgrades</w:t>
      </w:r>
    </w:p>
    <w:p>
      <w:r>
        <w:t>Commercial benefits may vary based on territory classification and performance.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13. Taxes</w:t>
      </w:r>
    </w:p>
    <w:p>
      <w:r>
        <w:t>ROPs are responsible for compliance with applicable tax obligations including GST, income tax and related requirements.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14. TDS &amp; Statutory Deductions</w:t>
      </w:r>
    </w:p>
    <w:p>
      <w:r>
        <w:t>Applicable deductions may be made where required by law.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15. Financial Records</w:t>
      </w:r>
    </w:p>
    <w:p>
      <w:r>
        <w:t>ROPs should maintain accurate financial and operational records.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16. Audit Rights</w:t>
      </w:r>
    </w:p>
    <w:p>
      <w:r>
        <w:t>KOOVIRA may review commercial records, reports and supporting documentation.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17. Payment Disputes</w:t>
      </w:r>
    </w:p>
    <w:p>
      <w:r>
        <w:t>Commercial disputes should first be addressed through reconciliation and review processes.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18. Fraud Prevention</w:t>
      </w:r>
    </w:p>
    <w:p>
      <w:r>
        <w:t>Manipulation of transactions, settlements or revenue reporting is prohibited.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19. Commercial Adjustments</w:t>
      </w:r>
    </w:p>
    <w:p>
      <w:r>
        <w:t>Commercial structures may be revised in accordance with agreements and policy updates.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20. Suspension of Payments</w:t>
      </w:r>
    </w:p>
    <w:p>
      <w:r>
        <w:t>Payments may be delayed or withheld where legitimate compliance concerns exist.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21. Limitation of Liability</w:t>
      </w:r>
    </w:p>
    <w:p>
      <w:r>
        <w:t>KOOVIRA does not guarantee any minimum earnings, revenue or profitability.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22. Governing Law</w:t>
      </w:r>
    </w:p>
    <w:p>
      <w:r>
        <w:t>This Policy shall be governed by the laws of India.</w:t>
      </w:r>
    </w:p>
    <w:p>
      <w:r>
        <w:t>Detailed commercial schedules, settlement formats, incentive structures and territory-specific financial terms may be defined through separate agreements and addenda.</w:t>
      </w:r>
    </w:p>
    <w:p>
      <w:pPr>
        <w:pStyle w:val="Heading1"/>
      </w:pPr>
      <w:r>
        <w:t>23. Jurisdiction</w:t>
      </w:r>
    </w:p>
    <w:p>
      <w:r>
        <w:t>Subject to arbitration provisions, Mumbai shall be the jurisdiction.</w:t>
      </w:r>
    </w:p>
    <w:p>
      <w:r>
        <w:t>Detailed commercial schedules, settlement formats, incentive structures and territory-specific financial terms may be defined through separate agreements and addenda.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