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04 - NDA &amp; Confidentiality Agreement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This Non-Disclosure &amp; Confidentiality Agreement governs the disclosure, protection and use of confidential information exchanged between KOOVIRA and applicants or approved Regional Operating Partners (ROPs).</w:t>
        <w:br/>
      </w:r>
    </w:p>
    <w:p>
      <w:pPr>
        <w:pStyle w:val="Heading1"/>
      </w:pPr>
      <w:r>
        <w:t>1. Purpose</w:t>
      </w:r>
    </w:p>
    <w:p>
      <w:r>
        <w:t>To protect confidential, commercial, operational and technical information shared during evaluation and operation of ROP territories.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2. Confidential Information</w:t>
      </w:r>
    </w:p>
    <w:p>
      <w:r>
        <w:t>Includes business plans, territory information, pricing structures, merchant data, revenue models, training materials, technology, source code, operational manuals and strategic information.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3. Scope</w:t>
      </w:r>
    </w:p>
    <w:p>
      <w:r>
        <w:t>Confidential information may be disclosed verbally, visually, electronically, digitally or in written form.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4. Confidentiality Obligations</w:t>
      </w:r>
    </w:p>
    <w:p>
      <w:r>
        <w:t>Recipients shall maintain strict confidentiality and use information only for authorized purposes.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5. Non-Disclosure</w:t>
      </w:r>
    </w:p>
    <w:p>
      <w:r>
        <w:t>Confidential information shall not be disclosed to unauthorized third parties.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6. Non-Circumvention</w:t>
      </w:r>
    </w:p>
    <w:p>
      <w:r>
        <w:t>Recipients shall not bypass, undermine or exploit KOOVIRA business opportunities using confidential information.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7. Non-Solicitation</w:t>
      </w:r>
    </w:p>
    <w:p>
      <w:r>
        <w:t>Protected merchants, partners, personnel and business contacts shall not be improperly solicited.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8. Restricted Use</w:t>
      </w:r>
    </w:p>
    <w:p>
      <w:r>
        <w:t>Confidential information shall not be copied, distributed, sold, licensed or reproduced without authorization.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9. Intellectual Property</w:t>
      </w:r>
    </w:p>
    <w:p>
      <w:r>
        <w:t>Disclosure does not transfer ownership of trademarks, copyrights, software or intellectual property.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10. Security Measures</w:t>
      </w:r>
    </w:p>
    <w:p>
      <w:r>
        <w:t>Recipients shall implement reasonable safeguards to protect confidential information.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11. Merchant Data</w:t>
      </w:r>
    </w:p>
    <w:p>
      <w:r>
        <w:t>Merchant information must be protected and used only for authorized business purposes.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12. Territory Information</w:t>
      </w:r>
    </w:p>
    <w:p>
      <w:r>
        <w:t>Territory-specific commercial and operational information shall remain confidential.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13. Return or Destruction</w:t>
      </w:r>
    </w:p>
    <w:p>
      <w:r>
        <w:t>Confidential materials must be returned or destroyed upon request.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14. Exceptions</w:t>
      </w:r>
    </w:p>
    <w:p>
      <w:r>
        <w:t>Information already publicly available or lawfully obtained from third parties may be excluded.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15. Injunctive Relief</w:t>
      </w:r>
    </w:p>
    <w:p>
      <w:r>
        <w:t>KOOVIRA may seek equitable or injunctive relief for actual or threatened breaches.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16. Damages</w:t>
      </w:r>
    </w:p>
    <w:p>
      <w:r>
        <w:t>Recipients may be liable for losses, damages, costs and legal expenses arising from breaches.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17. Survival</w:t>
      </w:r>
    </w:p>
    <w:p>
      <w:r>
        <w:t>Confidentiality obligations shall survive termination and continue for five years unless otherwise required.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18. Compliance with Law</w:t>
      </w:r>
    </w:p>
    <w:p>
      <w:r>
        <w:t>Parties shall comply with applicable laws including contract, technology and privacy regulations.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19. Arbitration</w:t>
      </w:r>
    </w:p>
    <w:p>
      <w:r>
        <w:t>Disputes shall be referred to arbitration under the Arbitration and Conciliation Act, 1996.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20. Governing Law</w:t>
      </w:r>
    </w:p>
    <w:p>
      <w:r>
        <w:t>This Agreement shall be governed by the laws of India.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21. Jurisdiction</w:t>
      </w:r>
    </w:p>
    <w:p>
      <w:r>
        <w:t>Subject to arbitration, Mumbai shall be the jurisdiction.</w:t>
      </w:r>
    </w:p>
    <w:p>
      <w:r>
        <w:t>Additional confidentiality schedules, operational restrictions and data protection obligations may be incorporated through supplementary agreements.</w:t>
      </w:r>
    </w:p>
    <w:p>
      <w:pPr>
        <w:pStyle w:val="Heading1"/>
      </w:pPr>
      <w:r>
        <w:t>22. Digital Acceptance</w:t>
      </w:r>
    </w:p>
    <w:p>
      <w:r>
        <w:t>Electronic acceptance and digital execution shall be treated as valid where permitted by law.</w:t>
      </w:r>
    </w:p>
    <w:p>
      <w:r>
        <w:t>Additional confidentiality schedules, operational restrictions and data protection obligations may be incorporated through supplementary agreements.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