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KOOVIRA ROP Document 01 - Eligibility Criteria Policy</w:t>
      </w:r>
    </w:p>
    <w:p>
      <w:r>
        <w:br/>
        <w:t>TRISHARA VENTURES LLP (KOOVIRA)</w:t>
        <w:br/>
        <w:t>Registered Office: Navi Mumbai, India</w:t>
        <w:br/>
        <w:t>Effective Date: 1 May 2026</w:t>
        <w:br/>
        <w:t>Last Updated: 10 June 2026</w:t>
        <w:br/>
        <w:br/>
        <w:t>This Eligibility Criteria Policy establishes the minimum qualifications, documentation requirements, business eligibility standards and compliance obligations applicable to applicants seeking appointment as a Regional Operating Partner (ROP) under the KOOVIRA ecosystem.</w:t>
        <w:br/>
      </w:r>
    </w:p>
    <w:p>
      <w:pPr>
        <w:pStyle w:val="Heading1"/>
      </w:pPr>
      <w:r>
        <w:t>1. Purpose</w:t>
      </w:r>
    </w:p>
    <w:p>
      <w:r>
        <w:t>To define eligibility requirements for Regional Operating Partner (ROP) applications.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2. Applicability</w:t>
      </w:r>
    </w:p>
    <w:p>
      <w:r>
        <w:t>Applies to individuals, partnerships, LLPs, private limited companies and other approved entities seeking ROP rights.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3. Nature of Opportunity</w:t>
      </w:r>
    </w:p>
    <w:p>
      <w:r>
        <w:t>ROP is a commercial territory operating opportunity and does not create employment, partnership or shareholder rights in TRISHARA VENTURES LLP.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4. Eligible Applicants</w:t>
      </w:r>
    </w:p>
    <w:p>
      <w:r>
        <w:t>Business owners, entrepreneurs, LLPs, companies, marketing firms, franchise operators, consultants and approved organizations may apply.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5. Legal Capacity</w:t>
      </w:r>
    </w:p>
    <w:p>
      <w:r>
        <w:t>Applicants must be legally capable of entering into binding agreements under Indian law.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6. Business Entity Requirements</w:t>
      </w:r>
    </w:p>
    <w:p>
      <w:r>
        <w:t>Applicants may be required to maintain valid business registrations and statutory compliance.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7. KYC Requirements</w:t>
      </w:r>
    </w:p>
    <w:p>
      <w:r>
        <w:t>Applicants must provide identity, address, business and ownership documentation as requested.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8. Financial Capability</w:t>
      </w:r>
    </w:p>
    <w:p>
      <w:r>
        <w:t>Applicants should demonstrate the financial capacity necessary to operate and grow the assigned territory.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9. Business Experience</w:t>
      </w:r>
    </w:p>
    <w:p>
      <w:r>
        <w:t>Relevant experience in sales, marketing, distribution, business development or operations may be considered.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10. Team Capability</w:t>
      </w:r>
    </w:p>
    <w:p>
      <w:r>
        <w:t>Applicants should possess adequate human resources and management capability.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11. Territory Suitability</w:t>
      </w:r>
    </w:p>
    <w:p>
      <w:r>
        <w:t>Territory allocation depends on business readiness, market potential and strategic considerations.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12. Compliance Requirements</w:t>
      </w:r>
    </w:p>
    <w:p>
      <w:r>
        <w:t>Applicants must comply with all applicable laws, regulations and KOOVIRA policies.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13. Background Verification</w:t>
      </w:r>
    </w:p>
    <w:p>
      <w:r>
        <w:t>KOOVIRA may conduct verification of applicants, directors, partners or key personnel.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14. Conflict of Interest</w:t>
      </w:r>
    </w:p>
    <w:p>
      <w:r>
        <w:t>Material conflicts of interest should be disclosed during the application process.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15. Disqualification Criteria</w:t>
      </w:r>
    </w:p>
    <w:p>
      <w:r>
        <w:t>Fraud, misrepresentation, criminal misconduct, regulatory violations or document forgery may result in rejection.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16. Confidentiality Obligations</w:t>
      </w:r>
    </w:p>
    <w:p>
      <w:r>
        <w:t>Applicants may be required to execute confidentiality agreements before receiving sensitive information.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17. Commercial Evaluation</w:t>
      </w:r>
    </w:p>
    <w:p>
      <w:r>
        <w:t>Commercial viability, capability and territory plans may be evaluated.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18. Approval Rights</w:t>
      </w:r>
    </w:p>
    <w:p>
      <w:r>
        <w:t>KOOVIRA retains sole discretion regarding approval, rejection or deferment of applications.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19. Continuing Eligibility</w:t>
      </w:r>
    </w:p>
    <w:p>
      <w:r>
        <w:t>Eligibility must be maintained throughout the term of participation.</w:t>
      </w:r>
    </w:p>
    <w:p>
      <w:r>
        <w:t>Additional eligibility standards, evaluation criteria and territory-specific requirements may be issued by KOOVIRA from time to time.</w:t>
      </w:r>
    </w:p>
    <w:p>
      <w:pPr>
        <w:pStyle w:val="Heading1"/>
      </w:pPr>
      <w:r>
        <w:t>20. Governing Law</w:t>
      </w:r>
    </w:p>
    <w:p>
      <w:r>
        <w:t>This Policy shall be interpreted in accordance with the laws of India.</w:t>
      </w:r>
    </w:p>
    <w:p>
      <w:r>
        <w:t>Additional eligibility standards, evaluation criteria and territory-specific requirements may be issued by KOOVIRA from time to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